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71" w:rsidRPr="00030A3E" w:rsidRDefault="003E6071" w:rsidP="003E6071">
      <w:pPr>
        <w:tabs>
          <w:tab w:val="left" w:pos="4644"/>
        </w:tabs>
        <w:spacing w:after="200" w:line="276" w:lineRule="auto"/>
        <w:jc w:val="center"/>
        <w:rPr>
          <w:rFonts w:ascii="Century Gothic" w:hAnsi="Century Gothic" w:cs="Arial"/>
          <w:b/>
          <w:u w:val="single"/>
        </w:rPr>
      </w:pPr>
      <w:r w:rsidRPr="00030A3E">
        <w:rPr>
          <w:rFonts w:ascii="Century Gothic" w:hAnsi="Century Gothic" w:cs="Arial"/>
          <w:b/>
          <w:u w:val="single"/>
        </w:rPr>
        <w:t>ANEXO II</w:t>
      </w:r>
    </w:p>
    <w:p w:rsidR="003E6071" w:rsidRPr="00030A3E" w:rsidRDefault="003E6071" w:rsidP="003E6071">
      <w:pPr>
        <w:jc w:val="center"/>
        <w:rPr>
          <w:rFonts w:ascii="Century Gothic" w:eastAsia="Calibri" w:hAnsi="Century Gothic"/>
          <w:b/>
          <w:lang w:eastAsia="en-US"/>
        </w:rPr>
      </w:pPr>
      <w:r w:rsidRPr="00030A3E">
        <w:rPr>
          <w:rFonts w:ascii="Century Gothic" w:eastAsia="Calibri" w:hAnsi="Century Gothic"/>
          <w:b/>
          <w:lang w:eastAsia="en-US"/>
        </w:rPr>
        <w:t>PROGRAMA DE MATERIAS</w:t>
      </w:r>
    </w:p>
    <w:p w:rsidR="003E6071" w:rsidRPr="00030A3E" w:rsidRDefault="003E6071" w:rsidP="003E6071">
      <w:pPr>
        <w:autoSpaceDE w:val="0"/>
        <w:autoSpaceDN w:val="0"/>
        <w:adjustRightInd w:val="0"/>
        <w:jc w:val="center"/>
        <w:rPr>
          <w:rFonts w:ascii="Century Gothic" w:hAnsi="Century Gothic" w:cs="Times-Roman"/>
        </w:rPr>
      </w:pPr>
    </w:p>
    <w:p w:rsidR="003E6071" w:rsidRPr="00030A3E" w:rsidRDefault="003E6071" w:rsidP="003E6071">
      <w:pPr>
        <w:autoSpaceDE w:val="0"/>
        <w:autoSpaceDN w:val="0"/>
        <w:adjustRightInd w:val="0"/>
        <w:jc w:val="center"/>
        <w:rPr>
          <w:rFonts w:ascii="Century Gothic" w:hAnsi="Century Gothic" w:cs="Times-Roman"/>
        </w:rPr>
      </w:pPr>
      <w:r w:rsidRPr="00030A3E">
        <w:rPr>
          <w:rFonts w:ascii="Century Gothic" w:hAnsi="Century Gothic" w:cs="Times-Roman"/>
        </w:rPr>
        <w:t>MATERIAS COMUNES</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 xml:space="preserve">1. La Constitución Española de 1978. Estructura. Características generales, estructura y contenido. Principios que informan la Constitución de 1978. Derechos fundamentales y Libertades Públicas. El Tribunal Constitucional. </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 xml:space="preserve">2. La Corona: carácter, sucesión, proclamación y funciones. El Poder Judicial: El Consejo General del Poder Judicial. </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3. Las Cortes Generales. Concepto, elementos, funcionamiento y funciones normativas. El Gobierno: concepto, integración, cese, responsabilidad, funciones, deberes y regulación.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4. La Administración Pública en el Ordenamiento Jurídico Español. Tipología de los Entes Públicos. Las Administraciones del Estado. Autonómica. Local e Institucional.</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5. Las Comunidades Autónomas: Constitución y competencias. Competencias del Estado y de las Comunidades Autónomas: Introducción al Estatuto de Autonomía para Andalucía, y su sistema de distribución de competencias.</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6. Fuentes del Derecho Público: enumeración y principios. La jerarquía de las fuentes. Fuentes escritas: Leyes y Reglamentos.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7. El Régimen Local español. Concepto de Régimen Local español. Concepto de Administración Local, evolución del Régimen Local. Principios constitucionales y regulación jurídica. La Administración Local: Entidades que la integran. Regulación actual.</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8. El Municipio: evolución, concepto, elementos esenciales, denominación y cambio de nombre de los municipios. El Término municipal: concepto, caracteres, alteración del término municipal. La población: concepto. El empadronamiento: regulación, concepto.</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9. Organización municipal: concepto. Clases de órganos. Órganos de régimen común. Competencias: concepto y clases. Título X de la Ley 7/85, reguladora de las Bases del Régimen Local.</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10. La provincia: evolución, elementos esenciales. Competencias de la provincia. Organización provincial y competencias de los órganos.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 xml:space="preserve">11. Haciendas locales. Clasificación de los recursos. Conceptos generales. Potestad tributaria de los Entes locales. Fases de la potestad tributaria. Fiscalidad de las Haciendas </w:t>
      </w:r>
      <w:r w:rsidRPr="00030A3E">
        <w:rPr>
          <w:rFonts w:ascii="Century Gothic" w:hAnsi="Century Gothic" w:cs="Times-Roman"/>
        </w:rPr>
        <w:lastRenderedPageBreak/>
        <w:t>locales. Clasificación de los ingresos. Ordenanzas Fiscales. Tramitación de las Ordenanzas y acuerdos. Contenido. Entrada en vigor.</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12. La Ley 31/1995, de Prevención de Riesgos Laborales: Objeto y ámbito de aplicación. Nociones básicas de Seguridad e Higiene en el Trabajo.</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13. La Ley Orgánica 3/2018, de 5 de diciembre, de Protección de datos de carácter personal y garantía de los derechos digitales.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14. Normativa estatal, autonómica y local en materia de igualdad: La obligación administrativa de empleo de un lenguaje inclusivo. Definición de acoso sexual y acoso por razón de sexo. Presupuestos con enfoque de género.</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rPr>
          <w:rFonts w:ascii="Century Gothic" w:hAnsi="Century Gothic" w:cs="Times-Roman"/>
        </w:rPr>
      </w:pPr>
      <w:r w:rsidRPr="00030A3E">
        <w:rPr>
          <w:rFonts w:ascii="Century Gothic" w:hAnsi="Century Gothic" w:cs="Times-Roman"/>
        </w:rPr>
        <w:t>15. Normativa estatal y autonómica en materia de violencia de género: La ampliación del concepto de víctima en la normativa andaluza y derechos de las víctimas de violencia de género.</w:t>
      </w:r>
    </w:p>
    <w:p w:rsidR="003E6071" w:rsidRPr="00030A3E" w:rsidRDefault="003E6071" w:rsidP="003E6071">
      <w:pPr>
        <w:autoSpaceDE w:val="0"/>
        <w:autoSpaceDN w:val="0"/>
        <w:adjustRightInd w:val="0"/>
        <w:rPr>
          <w:rFonts w:ascii="Century Gothic" w:hAnsi="Century Gothic" w:cs="Times-Roman"/>
        </w:rPr>
      </w:pPr>
    </w:p>
    <w:p w:rsidR="003E6071" w:rsidRPr="00030A3E" w:rsidRDefault="003E6071" w:rsidP="003E6071">
      <w:pPr>
        <w:autoSpaceDE w:val="0"/>
        <w:autoSpaceDN w:val="0"/>
        <w:adjustRightInd w:val="0"/>
        <w:jc w:val="center"/>
        <w:rPr>
          <w:rFonts w:ascii="Century Gothic" w:hAnsi="Century Gothic" w:cs="Times-Roman"/>
        </w:rPr>
      </w:pPr>
      <w:r w:rsidRPr="00030A3E">
        <w:rPr>
          <w:rFonts w:ascii="Century Gothic" w:hAnsi="Century Gothic" w:cs="Times-Roman"/>
        </w:rPr>
        <w:t>MATERIAS ESPECÍFICAS</w:t>
      </w:r>
    </w:p>
    <w:p w:rsidR="003E6071" w:rsidRPr="00030A3E" w:rsidRDefault="003E6071" w:rsidP="003E6071">
      <w:pPr>
        <w:autoSpaceDE w:val="0"/>
        <w:autoSpaceDN w:val="0"/>
        <w:adjustRightInd w:val="0"/>
        <w:jc w:val="center"/>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16. Los actos administrativos: concepto y clases. Motivación y notificación. Eficacia y validez de los actos. Principios generales del procedimiento administrativo: concepto y clases. Fases del procedimiento común: principios y normas reguladoras. Días y horas hábiles Cómputo de plazos.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17. Recursos administrativos: concepto, clases, interposición, objeto, fin de la vía administrativa, interposición, suspensión de la ejecución, audiencia al interesado, resolución. Recurso de alzada, recurso potestativo de reposición y recurso extraordinario de revisión; Objeto, interposición y plazos.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18. Ordenanzas y reglamentos de las entidades locales: concepto y diferenciaciones. Clases. Procedimiento de elaboración y aprobación.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19. Funcionamiento de los órganos colegiados locales. Convocatoria y orden del día: régimen de sesiones. Actas y certificados de acuerdos.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20. El registro de entrada y salida de documentos. La presentación de instancias y documentos en las oficinas públicas. La informatización de los registros. Comunicaciones y notificaciones. El Archivo. Clases de archivos. Principales criterios de ordenación. El derecho de los ciudadanos al acceso a archivos y registros.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21. Los Presupuestos locales: concepto. Principio de estabilidad presupuestaria. Contenido del presupuesto general. Anexos del presupuesto general. Estructura presupuestaria. Formación y aprobación. Entrada en vigor. Ejercicio presupuestario. Liquidación. Modificaciones presupuestarias.</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22. La Función pública local y su organización: ideas generales. Concepto de funcionario. Clases. El personal laboral al servicio de las Entidades locales. Régimen jurídico. Personal eventual. Derechos y deberes de los Funcionarios públicos locales. Régimen disciplinario. Derecho de sindicación.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23. Los Bienes de las Entidades locales: concepto, clases. Bienes de dominio público local. Bienes patrimoniales locales, enajenación, cesión y utilización.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24. Los Contratos administrativos en la esfera local: legislación reguladora. Clases de contratos locales. Selección del contratista. Procedimientos de adjudicación.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25. Formas de la acción administrativa: Fomento. Policía. Servicio Público. Clasificación. Procedimiento de concesión de licencias: concepto y caracteres. Actividades sometidas a licencia. Procedimiento. Efectos. La responsabilidad de la Administración.</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26. La Ley 19/2013, de 9 de diciembre, de transparencia, acceso a la información pública y buen gobierno. Publicidad activa. Derecho de acceso a la información pública. Ejercicio del derecho de acceso a la información pública.</w:t>
      </w:r>
    </w:p>
    <w:p w:rsidR="003E6071" w:rsidRPr="00030A3E" w:rsidRDefault="003E6071" w:rsidP="003E6071">
      <w:pPr>
        <w:autoSpaceDE w:val="0"/>
        <w:autoSpaceDN w:val="0"/>
        <w:adjustRightInd w:val="0"/>
        <w:jc w:val="both"/>
        <w:rPr>
          <w:rFonts w:ascii="Century Gothic" w:hAnsi="Century Gothic" w:cs="Times-Roman"/>
        </w:rPr>
      </w:pPr>
    </w:p>
    <w:p w:rsidR="003E6071" w:rsidRPr="00030A3E" w:rsidRDefault="003E6071" w:rsidP="003E6071">
      <w:pPr>
        <w:autoSpaceDE w:val="0"/>
        <w:autoSpaceDN w:val="0"/>
        <w:adjustRightInd w:val="0"/>
        <w:jc w:val="both"/>
        <w:rPr>
          <w:rFonts w:ascii="Century Gothic" w:hAnsi="Century Gothic" w:cs="Times-Roman"/>
        </w:rPr>
      </w:pPr>
      <w:r w:rsidRPr="00030A3E">
        <w:rPr>
          <w:rFonts w:ascii="Century Gothic" w:hAnsi="Century Gothic" w:cs="Times-Roman"/>
        </w:rPr>
        <w:t>27. La Informática en la Administración Pública. El Ordenador personal: sus componentes fundamentales. La ofimática: la gestión del correo electrónico. Programas de uso común en las tareas administrativas: Microsoft Word, Access y Excel.</w:t>
      </w:r>
    </w:p>
    <w:p w:rsidR="003E6071" w:rsidRPr="00885917" w:rsidRDefault="003E6071" w:rsidP="003E6071">
      <w:pPr>
        <w:tabs>
          <w:tab w:val="left" w:pos="4644"/>
        </w:tabs>
        <w:spacing w:after="200" w:line="276" w:lineRule="auto"/>
        <w:jc w:val="center"/>
        <w:rPr>
          <w:rFonts w:ascii="Century Gothic" w:hAnsi="Century Gothic" w:cs="Arial"/>
          <w:b/>
          <w:sz w:val="28"/>
          <w:szCs w:val="28"/>
          <w:u w:val="single"/>
        </w:rPr>
      </w:pPr>
    </w:p>
    <w:p w:rsidR="003E6071" w:rsidRPr="00885917" w:rsidRDefault="003E6071" w:rsidP="003E6071">
      <w:pPr>
        <w:jc w:val="center"/>
        <w:rPr>
          <w:rFonts w:ascii="Century Gothic" w:eastAsia="Calibri" w:hAnsi="Century Gothic"/>
          <w:b/>
          <w:sz w:val="28"/>
          <w:szCs w:val="28"/>
          <w:lang w:eastAsia="en-US"/>
        </w:rPr>
      </w:pPr>
    </w:p>
    <w:p w:rsidR="003E6071" w:rsidRPr="00885917" w:rsidRDefault="003E6071" w:rsidP="003E6071">
      <w:pPr>
        <w:spacing w:after="200" w:line="276" w:lineRule="auto"/>
        <w:ind w:left="1440"/>
        <w:jc w:val="both"/>
        <w:rPr>
          <w:rFonts w:ascii="Century Gothic" w:eastAsia="Calibri" w:hAnsi="Century Gothic"/>
          <w:sz w:val="28"/>
          <w:szCs w:val="28"/>
          <w:lang w:eastAsia="en-US"/>
        </w:rPr>
      </w:pPr>
    </w:p>
    <w:p w:rsidR="003E6071" w:rsidRPr="00885917" w:rsidRDefault="003E6071" w:rsidP="003E6071">
      <w:pPr>
        <w:ind w:left="1440"/>
        <w:jc w:val="both"/>
        <w:rPr>
          <w:rFonts w:ascii="Century Gothic" w:eastAsia="Calibri" w:hAnsi="Century Gothic"/>
          <w:sz w:val="28"/>
          <w:szCs w:val="28"/>
          <w:lang w:eastAsia="en-US"/>
        </w:rPr>
      </w:pPr>
    </w:p>
    <w:p w:rsidR="003E6071" w:rsidRPr="00885917" w:rsidRDefault="003E6071" w:rsidP="003E6071">
      <w:pPr>
        <w:ind w:left="1440"/>
        <w:jc w:val="both"/>
        <w:rPr>
          <w:rFonts w:ascii="Century Gothic" w:eastAsia="Calibri" w:hAnsi="Century Gothic"/>
          <w:sz w:val="28"/>
          <w:szCs w:val="28"/>
          <w:lang w:eastAsia="en-US"/>
        </w:rPr>
      </w:pPr>
    </w:p>
    <w:p w:rsidR="003E6071" w:rsidRPr="00885917" w:rsidRDefault="003E6071" w:rsidP="003E6071">
      <w:pPr>
        <w:ind w:left="2832" w:firstLine="708"/>
        <w:jc w:val="both"/>
        <w:rPr>
          <w:rFonts w:ascii="Century Gothic" w:hAnsi="Century Gothic" w:cs="Tahoma"/>
          <w:spacing w:val="-3"/>
          <w:sz w:val="28"/>
          <w:szCs w:val="28"/>
        </w:rPr>
      </w:pPr>
    </w:p>
    <w:p w:rsidR="003E6071" w:rsidRPr="00885917" w:rsidRDefault="003E6071" w:rsidP="003E6071">
      <w:pPr>
        <w:widowControl w:val="0"/>
        <w:snapToGrid w:val="0"/>
        <w:spacing w:after="200" w:line="276" w:lineRule="auto"/>
        <w:ind w:left="1080"/>
        <w:jc w:val="both"/>
        <w:rPr>
          <w:rFonts w:ascii="Century Gothic" w:hAnsi="Century Gothic" w:cs="Arial"/>
          <w:spacing w:val="-3"/>
          <w:sz w:val="28"/>
          <w:szCs w:val="28"/>
        </w:rPr>
      </w:pPr>
    </w:p>
    <w:p w:rsidR="003E6071" w:rsidRPr="00885917" w:rsidRDefault="003E6071" w:rsidP="003E6071">
      <w:pPr>
        <w:widowControl w:val="0"/>
        <w:snapToGrid w:val="0"/>
        <w:spacing w:after="200" w:line="276" w:lineRule="auto"/>
        <w:ind w:left="1080"/>
        <w:jc w:val="both"/>
        <w:rPr>
          <w:rFonts w:ascii="Century Gothic" w:hAnsi="Century Gothic" w:cs="Arial"/>
          <w:spacing w:val="-3"/>
          <w:sz w:val="28"/>
          <w:szCs w:val="28"/>
        </w:rPr>
      </w:pPr>
    </w:p>
    <w:p w:rsidR="003E6071" w:rsidRPr="00885917" w:rsidRDefault="003E6071" w:rsidP="003E6071">
      <w:pPr>
        <w:widowControl w:val="0"/>
        <w:snapToGrid w:val="0"/>
        <w:spacing w:after="200" w:line="276" w:lineRule="auto"/>
        <w:ind w:left="1080"/>
        <w:jc w:val="both"/>
        <w:rPr>
          <w:rFonts w:ascii="Century Gothic" w:hAnsi="Century Gothic" w:cs="Arial"/>
          <w:spacing w:val="-3"/>
          <w:sz w:val="28"/>
          <w:szCs w:val="28"/>
        </w:rPr>
      </w:pPr>
    </w:p>
    <w:p w:rsidR="003E6071" w:rsidRPr="00885917" w:rsidRDefault="003E6071" w:rsidP="003E6071">
      <w:pPr>
        <w:widowControl w:val="0"/>
        <w:snapToGrid w:val="0"/>
        <w:spacing w:after="200" w:line="276" w:lineRule="auto"/>
        <w:ind w:left="1080"/>
        <w:jc w:val="both"/>
        <w:rPr>
          <w:rFonts w:ascii="Century Gothic" w:hAnsi="Century Gothic" w:cs="Arial"/>
          <w:spacing w:val="-3"/>
          <w:sz w:val="28"/>
          <w:szCs w:val="28"/>
        </w:rPr>
      </w:pPr>
    </w:p>
    <w:sectPr w:rsidR="003E6071" w:rsidRPr="00885917" w:rsidSect="00030A3E">
      <w:headerReference w:type="even" r:id="rId8"/>
      <w:headerReference w:type="default" r:id="rId9"/>
      <w:footerReference w:type="even" r:id="rId10"/>
      <w:footerReference w:type="default" r:id="rId11"/>
      <w:headerReference w:type="first" r:id="rId12"/>
      <w:footerReference w:type="first" r:id="rId13"/>
      <w:pgSz w:w="11906" w:h="16838"/>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75" w:rsidRDefault="00292B75" w:rsidP="00AB0FC0">
      <w:r>
        <w:separator/>
      </w:r>
    </w:p>
  </w:endnote>
  <w:endnote w:type="continuationSeparator" w:id="0">
    <w:p w:rsidR="00292B75" w:rsidRDefault="00292B75" w:rsidP="00AB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Default="00030A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Default="00030A3E" w:rsidP="00030A3E">
    <w:pPr>
      <w:tabs>
        <w:tab w:val="center" w:pos="4252"/>
        <w:tab w:val="right" w:pos="8504"/>
      </w:tabs>
      <w:suppressAutoHyphens w:val="0"/>
      <w:jc w:val="center"/>
      <w:rPr>
        <w:rFonts w:ascii="Century Gothic" w:hAnsi="Century Gothic"/>
        <w:sz w:val="16"/>
        <w:szCs w:val="16"/>
        <w:lang w:val="es-AR" w:eastAsia="es-ES"/>
      </w:rPr>
    </w:pPr>
  </w:p>
  <w:p w:rsidR="00030A3E" w:rsidRPr="00030A3E" w:rsidRDefault="00030A3E" w:rsidP="00030A3E">
    <w:pPr>
      <w:tabs>
        <w:tab w:val="center" w:pos="4252"/>
        <w:tab w:val="right" w:pos="8504"/>
      </w:tabs>
      <w:suppressAutoHyphens w:val="0"/>
      <w:jc w:val="center"/>
      <w:rPr>
        <w:rFonts w:ascii="Tahoma" w:hAnsi="Tahoma" w:cs="Tahoma"/>
        <w:spacing w:val="-3"/>
        <w:sz w:val="20"/>
        <w:lang w:eastAsia="es-ES"/>
      </w:rPr>
    </w:pPr>
    <w:r w:rsidRPr="00030A3E">
      <w:rPr>
        <w:rFonts w:ascii="Century Gothic" w:hAnsi="Century Gothic"/>
        <w:sz w:val="16"/>
        <w:szCs w:val="16"/>
        <w:lang w:val="es-AR" w:eastAsia="es-ES"/>
      </w:rPr>
      <w:t xml:space="preserve">Plaza Fuente Arriba 15. 29500 Álora. Málaga </w:t>
    </w:r>
    <w:proofErr w:type="spellStart"/>
    <w:r w:rsidRPr="00030A3E">
      <w:rPr>
        <w:rFonts w:ascii="Century Gothic" w:hAnsi="Century Gothic"/>
        <w:sz w:val="16"/>
        <w:szCs w:val="16"/>
        <w:lang w:val="es-AR" w:eastAsia="es-ES"/>
      </w:rPr>
      <w:t>Tlf</w:t>
    </w:r>
    <w:proofErr w:type="spellEnd"/>
    <w:r w:rsidRPr="00030A3E">
      <w:rPr>
        <w:rFonts w:ascii="Century Gothic" w:hAnsi="Century Gothic"/>
        <w:sz w:val="16"/>
        <w:szCs w:val="16"/>
        <w:lang w:val="es-AR" w:eastAsia="es-ES"/>
      </w:rPr>
      <w:t>. (+34) 952 49 61 00/01 Fax. (+34) 952 49 70 00  www.alora.es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Default="00030A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75" w:rsidRDefault="00292B75" w:rsidP="00AB0FC0">
      <w:r>
        <w:separator/>
      </w:r>
    </w:p>
  </w:footnote>
  <w:footnote w:type="continuationSeparator" w:id="0">
    <w:p w:rsidR="00292B75" w:rsidRDefault="00292B75" w:rsidP="00AB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Default="00030A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Pr="00030A3E" w:rsidRDefault="00030A3E" w:rsidP="00030A3E">
    <w:pPr>
      <w:suppressAutoHyphens w:val="0"/>
      <w:rPr>
        <w:lang w:eastAsia="es-ES"/>
      </w:rPr>
    </w:pPr>
    <w:r w:rsidRPr="00030A3E">
      <w:rPr>
        <w:noProof/>
        <w:lang w:eastAsia="es-ES"/>
      </w:rPr>
      <w:drawing>
        <wp:inline distT="0" distB="0" distL="0" distR="0" wp14:anchorId="5C9FFD80" wp14:editId="00CCF40A">
          <wp:extent cx="1257300" cy="962025"/>
          <wp:effectExtent l="0" t="0" r="0" b="952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030A3E">
      <w:rPr>
        <w:lang w:eastAsia="es-ES"/>
      </w:rPr>
      <w:t xml:space="preserve">                                                                                </w:t>
    </w:r>
    <w:r w:rsidRPr="00030A3E">
      <w:rPr>
        <w:noProof/>
        <w:lang w:eastAsia="es-ES"/>
      </w:rPr>
      <w:drawing>
        <wp:inline distT="0" distB="0" distL="0" distR="0" wp14:anchorId="51BAE39F" wp14:editId="09BB2940">
          <wp:extent cx="2400300" cy="1000125"/>
          <wp:effectExtent l="0" t="0" r="0" b="9525"/>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030A3E" w:rsidRDefault="00030A3E">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E" w:rsidRDefault="00030A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441AE"/>
    <w:multiLevelType w:val="hybridMultilevel"/>
    <w:tmpl w:val="0FF0BA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67F2631"/>
    <w:multiLevelType w:val="hybridMultilevel"/>
    <w:tmpl w:val="D70EDDDA"/>
    <w:lvl w:ilvl="0" w:tplc="F806ACBA">
      <w:start w:val="1"/>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7EFC5482"/>
    <w:multiLevelType w:val="hybridMultilevel"/>
    <w:tmpl w:val="446EC4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9C"/>
    <w:rsid w:val="00030A3E"/>
    <w:rsid w:val="00292B75"/>
    <w:rsid w:val="003E6071"/>
    <w:rsid w:val="003F54F5"/>
    <w:rsid w:val="004A396F"/>
    <w:rsid w:val="005E282D"/>
    <w:rsid w:val="00642913"/>
    <w:rsid w:val="006B5C1F"/>
    <w:rsid w:val="007E2D9C"/>
    <w:rsid w:val="008E2304"/>
    <w:rsid w:val="009755F3"/>
    <w:rsid w:val="00A8661D"/>
    <w:rsid w:val="00AB0FC0"/>
    <w:rsid w:val="00C3092B"/>
    <w:rsid w:val="00CC4C95"/>
    <w:rsid w:val="00E33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F3"/>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unhideWhenUsed/>
    <w:rsid w:val="009755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5F3"/>
    <w:rPr>
      <w:rFonts w:ascii="Times New Roman" w:eastAsia="Times New Roman" w:hAnsi="Times New Roman" w:cs="Times New Roman"/>
      <w:sz w:val="16"/>
      <w:szCs w:val="16"/>
      <w:lang w:eastAsia="zh-CN"/>
    </w:rPr>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3E6071"/>
    <w:pPr>
      <w:suppressAutoHyphens w:val="0"/>
      <w:spacing w:before="120" w:after="240"/>
      <w:ind w:left="720"/>
      <w:jc w:val="both"/>
    </w:pPr>
    <w:rPr>
      <w:rFonts w:ascii="Arial Narrow" w:hAnsi="Arial Narrow"/>
      <w:sz w:val="22"/>
      <w:lang w:val="es-ES_tradnl"/>
    </w:rPr>
  </w:style>
  <w:style w:type="paragraph" w:styleId="Textoindependiente2">
    <w:name w:val="Body Text 2"/>
    <w:basedOn w:val="Normal"/>
    <w:link w:val="Textoindependiente2Car"/>
    <w:rsid w:val="003E6071"/>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3E6071"/>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0FC0"/>
    <w:rPr>
      <w:color w:val="0000FF" w:themeColor="hyperlink"/>
      <w:u w:val="single"/>
    </w:rPr>
  </w:style>
  <w:style w:type="paragraph" w:styleId="Encabezado">
    <w:name w:val="header"/>
    <w:basedOn w:val="Normal"/>
    <w:link w:val="EncabezadoCar"/>
    <w:uiPriority w:val="99"/>
    <w:unhideWhenUsed/>
    <w:rsid w:val="00AB0FC0"/>
    <w:pPr>
      <w:tabs>
        <w:tab w:val="center" w:pos="4252"/>
        <w:tab w:val="right" w:pos="8504"/>
      </w:tabs>
    </w:pPr>
  </w:style>
  <w:style w:type="character" w:customStyle="1" w:styleId="EncabezadoCar">
    <w:name w:val="Encabezado Car"/>
    <w:basedOn w:val="Fuentedeprrafopredeter"/>
    <w:link w:val="Encabezado"/>
    <w:uiPriority w:val="99"/>
    <w:rsid w:val="00AB0FC0"/>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AB0FC0"/>
    <w:pPr>
      <w:tabs>
        <w:tab w:val="center" w:pos="4252"/>
        <w:tab w:val="right" w:pos="8504"/>
      </w:tabs>
    </w:pPr>
  </w:style>
  <w:style w:type="character" w:customStyle="1" w:styleId="PiedepginaCar">
    <w:name w:val="Pie de página Car"/>
    <w:basedOn w:val="Fuentedeprrafopredeter"/>
    <w:link w:val="Piedepgina"/>
    <w:uiPriority w:val="99"/>
    <w:rsid w:val="00AB0FC0"/>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030A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A3E"/>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F3"/>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unhideWhenUsed/>
    <w:rsid w:val="009755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5F3"/>
    <w:rPr>
      <w:rFonts w:ascii="Times New Roman" w:eastAsia="Times New Roman" w:hAnsi="Times New Roman" w:cs="Times New Roman"/>
      <w:sz w:val="16"/>
      <w:szCs w:val="16"/>
      <w:lang w:eastAsia="zh-CN"/>
    </w:rPr>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3E6071"/>
    <w:pPr>
      <w:suppressAutoHyphens w:val="0"/>
      <w:spacing w:before="120" w:after="240"/>
      <w:ind w:left="720"/>
      <w:jc w:val="both"/>
    </w:pPr>
    <w:rPr>
      <w:rFonts w:ascii="Arial Narrow" w:hAnsi="Arial Narrow"/>
      <w:sz w:val="22"/>
      <w:lang w:val="es-ES_tradnl"/>
    </w:rPr>
  </w:style>
  <w:style w:type="paragraph" w:styleId="Textoindependiente2">
    <w:name w:val="Body Text 2"/>
    <w:basedOn w:val="Normal"/>
    <w:link w:val="Textoindependiente2Car"/>
    <w:rsid w:val="003E6071"/>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3E6071"/>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0FC0"/>
    <w:rPr>
      <w:color w:val="0000FF" w:themeColor="hyperlink"/>
      <w:u w:val="single"/>
    </w:rPr>
  </w:style>
  <w:style w:type="paragraph" w:styleId="Encabezado">
    <w:name w:val="header"/>
    <w:basedOn w:val="Normal"/>
    <w:link w:val="EncabezadoCar"/>
    <w:uiPriority w:val="99"/>
    <w:unhideWhenUsed/>
    <w:rsid w:val="00AB0FC0"/>
    <w:pPr>
      <w:tabs>
        <w:tab w:val="center" w:pos="4252"/>
        <w:tab w:val="right" w:pos="8504"/>
      </w:tabs>
    </w:pPr>
  </w:style>
  <w:style w:type="character" w:customStyle="1" w:styleId="EncabezadoCar">
    <w:name w:val="Encabezado Car"/>
    <w:basedOn w:val="Fuentedeprrafopredeter"/>
    <w:link w:val="Encabezado"/>
    <w:uiPriority w:val="99"/>
    <w:rsid w:val="00AB0FC0"/>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AB0FC0"/>
    <w:pPr>
      <w:tabs>
        <w:tab w:val="center" w:pos="4252"/>
        <w:tab w:val="right" w:pos="8504"/>
      </w:tabs>
    </w:pPr>
  </w:style>
  <w:style w:type="character" w:customStyle="1" w:styleId="PiedepginaCar">
    <w:name w:val="Pie de página Car"/>
    <w:basedOn w:val="Fuentedeprrafopredeter"/>
    <w:link w:val="Piedepgina"/>
    <w:uiPriority w:val="99"/>
    <w:rsid w:val="00AB0FC0"/>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030A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A3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39128">
      <w:bodyDiv w:val="1"/>
      <w:marLeft w:val="0"/>
      <w:marRight w:val="0"/>
      <w:marTop w:val="0"/>
      <w:marBottom w:val="0"/>
      <w:divBdr>
        <w:top w:val="none" w:sz="0" w:space="0" w:color="auto"/>
        <w:left w:val="none" w:sz="0" w:space="0" w:color="auto"/>
        <w:bottom w:val="none" w:sz="0" w:space="0" w:color="auto"/>
        <w:right w:val="none" w:sz="0" w:space="0" w:color="auto"/>
      </w:divBdr>
    </w:div>
    <w:div w:id="16448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Moreno Olmedo</dc:creator>
  <cp:keywords/>
  <dc:description/>
  <cp:lastModifiedBy>María del Mar Sánchez Aranda</cp:lastModifiedBy>
  <cp:revision>7</cp:revision>
  <cp:lastPrinted>2021-04-26T10:03:00Z</cp:lastPrinted>
  <dcterms:created xsi:type="dcterms:W3CDTF">2021-04-26T09:53:00Z</dcterms:created>
  <dcterms:modified xsi:type="dcterms:W3CDTF">2021-09-28T08:39:00Z</dcterms:modified>
</cp:coreProperties>
</file>